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highlight w:val="none"/>
        </w:rPr>
      </w:pPr>
      <w:r>
        <w:rPr>
          <w:rFonts w:hint="eastAsia" w:ascii="微软雅黑" w:hAnsi="微软雅黑" w:eastAsia="微软雅黑" w:cs="微软雅黑"/>
          <w:b/>
          <w:bCs/>
          <w:sz w:val="36"/>
          <w:szCs w:val="36"/>
          <w:highlight w:val="none"/>
        </w:rPr>
        <w:t>附加在线门（急）诊药品费用医疗保险</w:t>
      </w:r>
    </w:p>
    <w:p>
      <w:pPr>
        <w:jc w:val="center"/>
        <w:rPr>
          <w:rFonts w:hint="eastAsia" w:ascii="微软雅黑" w:hAnsi="微软雅黑" w:eastAsia="微软雅黑" w:cs="微软雅黑"/>
          <w:b/>
          <w:bCs/>
          <w:sz w:val="36"/>
          <w:szCs w:val="36"/>
          <w:highlight w:val="none"/>
        </w:rPr>
      </w:pPr>
      <w:r>
        <w:rPr>
          <w:rFonts w:hint="eastAsia" w:ascii="微软雅黑" w:hAnsi="微软雅黑" w:eastAsia="微软雅黑" w:cs="微软雅黑"/>
          <w:b/>
          <w:bCs/>
          <w:sz w:val="36"/>
          <w:szCs w:val="36"/>
          <w:highlight w:val="none"/>
        </w:rPr>
        <w:t>服务手册</w:t>
      </w:r>
    </w:p>
    <w:p>
      <w:pPr>
        <w:jc w:val="both"/>
        <w:rPr>
          <w:rFonts w:hint="eastAsia" w:ascii="黑体" w:hAnsi="黑体" w:eastAsia="黑体" w:cs="黑体"/>
          <w:b/>
          <w:bCs/>
          <w:sz w:val="32"/>
          <w:szCs w:val="32"/>
          <w:highlight w:val="none"/>
        </w:rPr>
      </w:pPr>
    </w:p>
    <w:p>
      <w:pPr>
        <w:ind w:firstLine="643" w:firstLineChars="200"/>
        <w:jc w:val="both"/>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一、服务内容</w:t>
      </w:r>
    </w:p>
    <w:p>
      <w:p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保险人在等待期结束后如有健康方面的需求，可为被保险人提供免费的全科医生7*24小时线上图文问诊服务。经指定互联网医院具有有效的中华人民共和国《医师资格证书》以及具有有效的中华人民共和国《医师执业证书》的医生诊疗后，被确诊罹患《附加在线门（急）诊药品费用医疗保险条款》约定特定疾病清单中的一种或多种，对于该医生开具的处方</w:t>
      </w:r>
      <w:r>
        <w:rPr>
          <w:rFonts w:hint="eastAsia" w:ascii="仿宋_GB2312" w:hAnsi="仿宋_GB2312" w:eastAsia="仿宋_GB2312" w:cs="仿宋_GB2312"/>
          <w:sz w:val="32"/>
          <w:szCs w:val="32"/>
          <w:highlight w:val="none"/>
          <w:lang w:val="en-US" w:eastAsia="zh-CN"/>
        </w:rPr>
        <w:t>或用药建议单</w:t>
      </w:r>
      <w:r>
        <w:rPr>
          <w:rFonts w:hint="eastAsia" w:ascii="仿宋_GB2312" w:hAnsi="仿宋_GB2312" w:eastAsia="仿宋_GB2312" w:cs="仿宋_GB2312"/>
          <w:sz w:val="32"/>
          <w:szCs w:val="32"/>
          <w:highlight w:val="none"/>
        </w:rPr>
        <w:t>中包含的用于治疗特定疾病且在指定药品清单中的药品，在指定</w:t>
      </w:r>
      <w:r>
        <w:rPr>
          <w:rFonts w:hint="eastAsia" w:ascii="仿宋_GB2312" w:hAnsi="仿宋_GB2312" w:eastAsia="仿宋_GB2312" w:cs="仿宋_GB2312"/>
          <w:sz w:val="32"/>
          <w:szCs w:val="32"/>
          <w:highlight w:val="none"/>
          <w:lang w:eastAsia="zh-CN"/>
        </w:rPr>
        <w:t>药店</w:t>
      </w:r>
      <w:r>
        <w:rPr>
          <w:rFonts w:hint="eastAsia" w:ascii="仿宋_GB2312" w:hAnsi="仿宋_GB2312" w:eastAsia="仿宋_GB2312" w:cs="仿宋_GB2312"/>
          <w:sz w:val="32"/>
          <w:szCs w:val="32"/>
          <w:highlight w:val="none"/>
        </w:rPr>
        <w:t>购药时提供在线理赔，并联合指定药品服务商，对于指定药品清单内的药品，提供送药到家服务。</w:t>
      </w:r>
    </w:p>
    <w:p>
      <w:pPr>
        <w:ind w:firstLine="643" w:firstLineChars="200"/>
        <w:jc w:val="both"/>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二、药品费用赔付标准</w:t>
      </w:r>
    </w:p>
    <w:p>
      <w:pPr>
        <w:pStyle w:val="7"/>
        <w:spacing w:before="0" w:beforeAutospacing="0" w:after="0" w:afterAutospacing="0"/>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药品费用赔付涉及的等待期、保险金额、免赔额、给付比例、每次给付限额、每月最高给付次数</w:t>
      </w:r>
      <w:bookmarkStart w:id="0" w:name="_GoBack"/>
      <w:bookmarkEnd w:id="0"/>
      <w:r>
        <w:rPr>
          <w:rFonts w:hint="eastAsia" w:ascii="仿宋_GB2312" w:hAnsi="仿宋_GB2312" w:eastAsia="仿宋_GB2312" w:cs="仿宋_GB2312"/>
          <w:sz w:val="32"/>
          <w:szCs w:val="32"/>
          <w:highlight w:val="none"/>
        </w:rPr>
        <w:t>等要素，以保单约定为准。</w:t>
      </w:r>
    </w:p>
    <w:p>
      <w:pPr>
        <w:ind w:firstLine="643" w:firstLineChars="200"/>
        <w:jc w:val="both"/>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三、特定疾病及指定药品清单</w:t>
      </w:r>
    </w:p>
    <w:p>
      <w:pPr>
        <w:widowControl/>
        <w:ind w:firstLine="640" w:firstLineChars="200"/>
        <w:rPr>
          <w:rFonts w:ascii="仿宋_GB2312" w:hAnsi="仿宋_GB2312" w:eastAsia="仿宋_GB2312" w:cs="仿宋_GB2312"/>
          <w:b w:val="0"/>
          <w:bCs w:val="0"/>
          <w:kern w:val="0"/>
          <w:sz w:val="32"/>
          <w:szCs w:val="32"/>
          <w:highlight w:val="none"/>
        </w:rPr>
      </w:pPr>
      <w:r>
        <w:rPr>
          <w:rFonts w:hint="eastAsia" w:ascii="仿宋_GB2312" w:hAnsi="仿宋_GB2312" w:eastAsia="仿宋_GB2312" w:cs="仿宋_GB2312"/>
          <w:sz w:val="32"/>
          <w:szCs w:val="32"/>
          <w:highlight w:val="none"/>
        </w:rPr>
        <w:t>本服务适用的特定疾病及指定药品清单如下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kern w:val="0"/>
          <w:sz w:val="32"/>
          <w:szCs w:val="32"/>
          <w:highlight w:val="none"/>
        </w:rPr>
        <w:t>人保财险</w:t>
      </w:r>
      <w:r>
        <w:rPr>
          <w:rFonts w:hint="eastAsia" w:ascii="仿宋_GB2312" w:hAnsi="仿宋_GB2312" w:eastAsia="仿宋_GB2312" w:cs="仿宋_GB2312"/>
          <w:b w:val="0"/>
          <w:bCs w:val="0"/>
          <w:color w:val="auto"/>
          <w:kern w:val="0"/>
          <w:sz w:val="32"/>
          <w:szCs w:val="32"/>
          <w:highlight w:val="none"/>
        </w:rPr>
        <w:t>保留对</w:t>
      </w:r>
      <w:r>
        <w:rPr>
          <w:rFonts w:hint="eastAsia" w:ascii="仿宋_GB2312" w:hAnsi="仿宋_GB2312" w:eastAsia="仿宋_GB2312" w:cs="仿宋_GB2312"/>
          <w:color w:val="auto"/>
          <w:kern w:val="0"/>
          <w:sz w:val="32"/>
          <w:szCs w:val="32"/>
          <w:highlight w:val="none"/>
        </w:rPr>
        <w:t>上</w:t>
      </w:r>
      <w:r>
        <w:rPr>
          <w:rFonts w:hint="eastAsia" w:ascii="仿宋_GB2312" w:hAnsi="仿宋_GB2312" w:eastAsia="仿宋_GB2312" w:cs="仿宋_GB2312"/>
          <w:b w:val="0"/>
          <w:bCs w:val="0"/>
          <w:color w:val="auto"/>
          <w:kern w:val="0"/>
          <w:sz w:val="32"/>
          <w:szCs w:val="32"/>
          <w:highlight w:val="none"/>
        </w:rPr>
        <w:t>述特定药品清单做出适当调整的权利。</w:t>
      </w:r>
    </w:p>
    <w:p>
      <w:pPr>
        <w:widowControl/>
        <w:ind w:firstLine="643" w:firstLineChars="200"/>
        <w:jc w:val="both"/>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object>
          <v:shape id="_x0000_i1025" o:spt="75" type="#_x0000_t75" style="height:52.65pt;width:76pt;" o:ole="t" filled="f" o:preferrelative="t" stroked="f" coordsize="21600,21600">
            <v:path/>
            <v:fill on="f" focussize="0,0"/>
            <v:stroke on="f" joinstyle="miter"/>
            <v:imagedata r:id="rId6" o:title=""/>
            <o:lock v:ext="edit" aspectratio="t"/>
            <w10:wrap type="none"/>
            <w10:anchorlock/>
          </v:shape>
          <o:OLEObject Type="Embed" ProgID="Excel.Sheet.12" ShapeID="_x0000_i1025" DrawAspect="Icon" ObjectID="_1468075725" r:id="rId5">
            <o:LockedField>false</o:LockedField>
          </o:OLEObject>
        </w:object>
      </w:r>
      <w:r>
        <w:rPr>
          <w:rFonts w:hint="eastAsia" w:ascii="仿宋_GB2312" w:hAnsi="仿宋_GB2312" w:eastAsia="仿宋_GB2312" w:cs="仿宋_GB2312"/>
          <w:b/>
          <w:bCs/>
          <w:sz w:val="32"/>
          <w:szCs w:val="32"/>
          <w:highlight w:val="none"/>
        </w:rPr>
        <w:t xml:space="preserve">   </w:t>
      </w:r>
      <w:r>
        <w:rPr>
          <w:rFonts w:hint="eastAsia" w:ascii="仿宋_GB2312" w:hAnsi="仿宋_GB2312" w:eastAsia="仿宋_GB2312" w:cs="仿宋_GB2312"/>
          <w:b/>
          <w:bCs/>
          <w:sz w:val="32"/>
          <w:szCs w:val="32"/>
          <w:highlight w:val="none"/>
        </w:rPr>
        <w:object>
          <v:shape id="_x0000_i1026" o:spt="75" type="#_x0000_t75" style="height:52.65pt;width:76pt;" o:ole="t" filled="f" o:preferrelative="t" stroked="f" coordsize="21600,21600">
            <v:path/>
            <v:fill on="f" focussize="0,0"/>
            <v:stroke on="f" joinstyle="miter"/>
            <v:imagedata r:id="rId8" o:title=""/>
            <o:lock v:ext="edit" aspectratio="t"/>
            <w10:wrap type="none"/>
            <w10:anchorlock/>
          </v:shape>
          <o:OLEObject Type="Embed" ProgID="Excel.Sheet.12" ShapeID="_x0000_i1026" DrawAspect="Icon" ObjectID="_1468075726" r:id="rId7">
            <o:LockedField>false</o:LockedField>
          </o:OLEObject>
        </w:object>
      </w:r>
    </w:p>
    <w:p>
      <w:pPr>
        <w:ind w:firstLine="643" w:firstLineChars="200"/>
        <w:jc w:val="both"/>
        <w:rPr>
          <w:rFonts w:hint="eastAsia" w:ascii="黑体" w:hAnsi="黑体" w:eastAsia="黑体" w:cs="黑体"/>
          <w:b/>
          <w:bCs/>
          <w:sz w:val="32"/>
          <w:szCs w:val="32"/>
          <w:highlight w:val="none"/>
        </w:rPr>
      </w:pPr>
      <w:r>
        <w:rPr>
          <w:rFonts w:hint="eastAsia" w:ascii="黑体" w:hAnsi="黑体" w:eastAsia="黑体" w:cs="黑体"/>
          <w:b/>
          <w:bCs/>
          <w:sz w:val="32"/>
          <w:szCs w:val="32"/>
          <w:highlight w:val="none"/>
          <w:lang w:eastAsia="zh-CN"/>
        </w:rPr>
        <w:t>四、</w:t>
      </w:r>
      <w:r>
        <w:rPr>
          <w:rFonts w:hint="eastAsia" w:ascii="黑体" w:hAnsi="黑体" w:eastAsia="黑体" w:cs="黑体"/>
          <w:b/>
          <w:bCs/>
          <w:sz w:val="32"/>
          <w:szCs w:val="32"/>
          <w:highlight w:val="none"/>
        </w:rPr>
        <w:t>指定互联网医院</w:t>
      </w:r>
    </w:p>
    <w:p>
      <w:pPr>
        <w:ind w:firstLine="640" w:firstLineChars="200"/>
        <w:jc w:val="both"/>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海南</w:t>
      </w:r>
      <w:r>
        <w:rPr>
          <w:rFonts w:hint="eastAsia" w:ascii="仿宋_GB2312" w:hAnsi="仿宋_GB2312" w:eastAsia="仿宋_GB2312" w:cs="仿宋_GB2312"/>
          <w:kern w:val="0"/>
          <w:sz w:val="32"/>
          <w:szCs w:val="32"/>
          <w:highlight w:val="none"/>
          <w:lang w:val="en-US" w:eastAsia="zh-CN"/>
        </w:rPr>
        <w:t>高济</w:t>
      </w:r>
      <w:r>
        <w:rPr>
          <w:rFonts w:hint="eastAsia" w:ascii="仿宋_GB2312" w:hAnsi="仿宋_GB2312" w:eastAsia="仿宋_GB2312" w:cs="仿宋_GB2312"/>
          <w:kern w:val="0"/>
          <w:sz w:val="32"/>
          <w:szCs w:val="32"/>
          <w:highlight w:val="none"/>
        </w:rPr>
        <w:t>互联网医院</w:t>
      </w:r>
    </w:p>
    <w:p>
      <w:pPr>
        <w:ind w:firstLine="643" w:firstLineChars="200"/>
        <w:jc w:val="both"/>
        <w:rPr>
          <w:rFonts w:hint="default" w:ascii="黑体" w:hAnsi="黑体" w:eastAsia="黑体" w:cs="黑体"/>
          <w:b/>
          <w:bCs/>
          <w:sz w:val="32"/>
          <w:szCs w:val="32"/>
          <w:highlight w:val="none"/>
          <w:lang w:eastAsia="zh-CN"/>
        </w:rPr>
      </w:pPr>
      <w:r>
        <w:rPr>
          <w:rFonts w:hint="eastAsia" w:ascii="黑体" w:hAnsi="黑体" w:eastAsia="黑体" w:cs="黑体"/>
          <w:b/>
          <w:bCs/>
          <w:sz w:val="32"/>
          <w:szCs w:val="32"/>
          <w:highlight w:val="none"/>
          <w:lang w:eastAsia="zh-CN"/>
        </w:rPr>
        <w:t>五、指定</w:t>
      </w:r>
      <w:r>
        <w:rPr>
          <w:rFonts w:hint="eastAsia" w:ascii="黑体" w:hAnsi="黑体" w:eastAsia="黑体" w:cs="黑体"/>
          <w:b/>
          <w:bCs/>
          <w:sz w:val="32"/>
          <w:szCs w:val="32"/>
          <w:highlight w:val="none"/>
          <w:lang w:val="en-US" w:eastAsia="zh-CN"/>
        </w:rPr>
        <w:t>药品服务商</w:t>
      </w:r>
    </w:p>
    <w:p>
      <w:pPr>
        <w:ind w:left="0" w:leftChars="0" w:firstLine="640" w:firstLineChars="200"/>
        <w:jc w:val="both"/>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互联网医院指定的药房</w:t>
      </w:r>
    </w:p>
    <w:p>
      <w:pPr>
        <w:ind w:firstLine="643" w:firstLineChars="200"/>
        <w:jc w:val="both"/>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eastAsia="zh-CN"/>
        </w:rPr>
        <w:t>六、服务流程</w:t>
      </w:r>
    </w:p>
    <w:p>
      <w:pPr>
        <w:numPr>
          <w:ilvl w:val="0"/>
          <w:numId w:val="1"/>
        </w:numPr>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保单绑定</w:t>
      </w:r>
    </w:p>
    <w:p>
      <w:pPr>
        <w:widowControl/>
        <w:numPr>
          <w:ilvl w:val="-1"/>
          <w:numId w:val="0"/>
        </w:numPr>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使用</w:t>
      </w:r>
      <w:r>
        <w:rPr>
          <w:rFonts w:hint="eastAsia" w:ascii="仿宋_GB2312" w:hAnsi="仿宋_GB2312" w:eastAsia="仿宋_GB2312" w:cs="仿宋_GB2312"/>
          <w:sz w:val="32"/>
          <w:szCs w:val="32"/>
          <w:highlight w:val="none"/>
          <w:lang w:eastAsia="zh-CN"/>
        </w:rPr>
        <w:t>微信搜索“</w:t>
      </w:r>
      <w:r>
        <w:rPr>
          <w:rFonts w:hint="eastAsia" w:ascii="仿宋_GB2312" w:hAnsi="仿宋_GB2312" w:eastAsia="仿宋_GB2312" w:cs="仿宋_GB2312"/>
          <w:sz w:val="32"/>
          <w:szCs w:val="32"/>
          <w:highlight w:val="none"/>
          <w:lang w:val="en-US" w:eastAsia="zh-CN"/>
        </w:rPr>
        <w:t>高济互联网医院快诊无忧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关注</w:t>
      </w:r>
      <w:r>
        <w:rPr>
          <w:rFonts w:hint="eastAsia" w:ascii="仿宋_GB2312" w:hAnsi="仿宋_GB2312" w:eastAsia="仿宋_GB2312" w:cs="仿宋_GB2312"/>
          <w:sz w:val="32"/>
          <w:szCs w:val="32"/>
          <w:highlight w:val="none"/>
          <w:lang w:val="en-US" w:eastAsia="zh-CN"/>
        </w:rPr>
        <w:t>该</w:t>
      </w:r>
      <w:r>
        <w:rPr>
          <w:rFonts w:hint="eastAsia" w:ascii="仿宋_GB2312" w:hAnsi="仿宋_GB2312" w:eastAsia="仿宋_GB2312" w:cs="仿宋_GB2312"/>
          <w:sz w:val="32"/>
          <w:szCs w:val="32"/>
          <w:highlight w:val="none"/>
        </w:rPr>
        <w:t>微信公众号；</w:t>
      </w:r>
      <w:r>
        <w:rPr>
          <w:rFonts w:hint="eastAsia" w:ascii="仿宋_GB2312" w:hAnsi="仿宋_GB2312" w:eastAsia="仿宋_GB2312" w:cs="仿宋_GB2312"/>
          <w:sz w:val="32"/>
          <w:szCs w:val="32"/>
          <w:highlight w:val="none"/>
          <w:lang w:val="en-US" w:eastAsia="zh-CN"/>
        </w:rPr>
        <w:t>或扫描“高济互联网医院快诊无忧”二维码，并关注该微信公众号。</w:t>
      </w:r>
    </w:p>
    <w:p>
      <w:pPr>
        <w:numPr>
          <w:ilvl w:val="-1"/>
          <w:numId w:val="0"/>
        </w:numPr>
        <w:ind w:firstLine="0" w:firstLineChars="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drawing>
          <wp:inline distT="0" distB="0" distL="114300" distR="114300">
            <wp:extent cx="1638300" cy="1638300"/>
            <wp:effectExtent l="0" t="0" r="0" b="0"/>
            <wp:docPr id="3" name="图片 3" descr="753a99b4fe01e44bb5443817fa542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53a99b4fe01e44bb5443817fa542f5"/>
                    <pic:cNvPicPr>
                      <a:picLocks noChangeAspect="1"/>
                    </pic:cNvPicPr>
                  </pic:nvPicPr>
                  <pic:blipFill>
                    <a:blip r:embed="rId9"/>
                    <a:stretch>
                      <a:fillRect/>
                    </a:stretch>
                  </pic:blipFill>
                  <pic:spPr>
                    <a:xfrm>
                      <a:off x="0" y="0"/>
                      <a:ext cx="1638300" cy="1638300"/>
                    </a:xfrm>
                    <a:prstGeom prst="rect">
                      <a:avLst/>
                    </a:prstGeom>
                  </pic:spPr>
                </pic:pic>
              </a:graphicData>
            </a:graphic>
          </wp:inline>
        </w:drawing>
      </w:r>
    </w:p>
    <w:p>
      <w:pPr>
        <w:numPr>
          <w:ilvl w:val="-1"/>
          <w:numId w:val="0"/>
        </w:numPr>
        <w:ind w:left="0" w:leftChars="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点击公众号自动回复的</w:t>
      </w:r>
      <w:r>
        <w:rPr>
          <w:rFonts w:hint="eastAsia" w:ascii="仿宋_GB2312" w:hAnsi="仿宋_GB2312" w:eastAsia="仿宋_GB2312" w:cs="仿宋_GB2312"/>
          <w:sz w:val="32"/>
          <w:szCs w:val="32"/>
          <w:highlight w:val="none"/>
          <w:lang w:val="en-US" w:eastAsia="zh-CN"/>
        </w:rPr>
        <w:t>绑定保单链接或点击菜单栏，输入被保险人“保单后六位”、“出生年月日”、“性别”完成绑定，并</w:t>
      </w:r>
      <w:r>
        <w:rPr>
          <w:rFonts w:hint="eastAsia" w:ascii="仿宋_GB2312" w:hAnsi="仿宋_GB2312" w:eastAsia="仿宋_GB2312" w:cs="仿宋_GB2312"/>
          <w:sz w:val="32"/>
          <w:szCs w:val="32"/>
          <w:highlight w:val="none"/>
        </w:rPr>
        <w:t>激活权益；</w:t>
      </w:r>
    </w:p>
    <w:p>
      <w:pPr>
        <w:numPr>
          <w:ilvl w:val="-1"/>
          <w:numId w:val="0"/>
        </w:numPr>
        <w:ind w:left="0" w:leftChars="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color w:val="auto"/>
          <w:sz w:val="32"/>
          <w:szCs w:val="32"/>
          <w:highlight w:val="none"/>
          <w:lang w:eastAsia="zh-CN"/>
        </w:rPr>
        <w:t>首次登陆</w:t>
      </w:r>
      <w:r>
        <w:rPr>
          <w:rFonts w:hint="eastAsia" w:ascii="仿宋_GB2312" w:hAnsi="仿宋_GB2312" w:eastAsia="仿宋_GB2312" w:cs="仿宋_GB2312"/>
          <w:b w:val="0"/>
          <w:bCs w:val="0"/>
          <w:color w:val="auto"/>
          <w:sz w:val="32"/>
          <w:szCs w:val="32"/>
          <w:highlight w:val="none"/>
          <w:lang w:val="en-US" w:eastAsia="zh-CN"/>
        </w:rPr>
        <w:t>须</w:t>
      </w:r>
      <w:r>
        <w:rPr>
          <w:rFonts w:hint="eastAsia" w:ascii="仿宋_GB2312" w:hAnsi="仿宋_GB2312" w:eastAsia="仿宋_GB2312" w:cs="仿宋_GB2312"/>
          <w:b w:val="0"/>
          <w:bCs w:val="0"/>
          <w:color w:val="auto"/>
          <w:sz w:val="32"/>
          <w:szCs w:val="32"/>
          <w:highlight w:val="none"/>
        </w:rPr>
        <w:t>使用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保单号</w:t>
      </w:r>
      <w:r>
        <w:rPr>
          <w:rFonts w:hint="eastAsia" w:ascii="仿宋_GB2312" w:hAnsi="仿宋_GB2312" w:eastAsia="仿宋_GB2312" w:cs="仿宋_GB2312"/>
          <w:b w:val="0"/>
          <w:bCs w:val="0"/>
          <w:color w:val="auto"/>
          <w:sz w:val="32"/>
          <w:szCs w:val="32"/>
          <w:highlight w:val="none"/>
          <w:lang w:eastAsia="zh-CN"/>
        </w:rPr>
        <w:t>后六位、</w:t>
      </w:r>
      <w:r>
        <w:rPr>
          <w:rFonts w:hint="eastAsia" w:ascii="仿宋_GB2312" w:hAnsi="仿宋_GB2312" w:eastAsia="仿宋_GB2312" w:cs="仿宋_GB2312"/>
          <w:b w:val="0"/>
          <w:bCs w:val="0"/>
          <w:color w:val="auto"/>
          <w:sz w:val="32"/>
          <w:szCs w:val="32"/>
          <w:highlight w:val="none"/>
          <w:lang w:val="en-US" w:eastAsia="zh-CN"/>
        </w:rPr>
        <w:t>出生年月日、性别</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进行身份校验。同时签署《理赔授权书》，授权</w:t>
      </w:r>
      <w:r>
        <w:rPr>
          <w:rFonts w:hint="eastAsia" w:ascii="仿宋_GB2312" w:hAnsi="仿宋_GB2312" w:eastAsia="仿宋_GB2312" w:cs="仿宋_GB2312"/>
          <w:kern w:val="0"/>
          <w:sz w:val="32"/>
          <w:szCs w:val="32"/>
          <w:highlight w:val="none"/>
        </w:rPr>
        <w:t>海南</w:t>
      </w:r>
      <w:r>
        <w:rPr>
          <w:rFonts w:hint="eastAsia" w:ascii="仿宋_GB2312" w:hAnsi="仿宋_GB2312" w:eastAsia="仿宋_GB2312" w:cs="仿宋_GB2312"/>
          <w:kern w:val="0"/>
          <w:sz w:val="32"/>
          <w:szCs w:val="32"/>
          <w:highlight w:val="none"/>
          <w:lang w:val="en-US" w:eastAsia="zh-CN"/>
        </w:rPr>
        <w:t>高济</w:t>
      </w:r>
      <w:r>
        <w:rPr>
          <w:rFonts w:hint="eastAsia" w:ascii="仿宋_GB2312" w:hAnsi="仿宋_GB2312" w:eastAsia="仿宋_GB2312" w:cs="仿宋_GB2312"/>
          <w:kern w:val="0"/>
          <w:sz w:val="32"/>
          <w:szCs w:val="32"/>
          <w:highlight w:val="none"/>
        </w:rPr>
        <w:t>互联网医院</w:t>
      </w:r>
      <w:r>
        <w:rPr>
          <w:rFonts w:hint="eastAsia" w:ascii="仿宋_GB2312" w:hAnsi="仿宋_GB2312" w:eastAsia="仿宋_GB2312" w:cs="仿宋_GB2312"/>
          <w:kern w:val="0"/>
          <w:sz w:val="32"/>
          <w:szCs w:val="32"/>
          <w:highlight w:val="none"/>
          <w:lang w:val="en-US" w:eastAsia="zh-CN"/>
        </w:rPr>
        <w:t>代为理赔</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完成以上流程后，</w:t>
      </w:r>
      <w:r>
        <w:rPr>
          <w:rFonts w:hint="eastAsia" w:ascii="仿宋_GB2312" w:hAnsi="仿宋_GB2312" w:eastAsia="仿宋_GB2312" w:cs="仿宋_GB2312"/>
          <w:b w:val="0"/>
          <w:bCs w:val="0"/>
          <w:color w:val="auto"/>
          <w:sz w:val="32"/>
          <w:szCs w:val="32"/>
          <w:highlight w:val="none"/>
          <w:lang w:val="en-US" w:eastAsia="zh-CN"/>
        </w:rPr>
        <w:t>创建就诊人信息</w:t>
      </w:r>
      <w:r>
        <w:rPr>
          <w:rFonts w:hint="eastAsia" w:ascii="仿宋_GB2312" w:hAnsi="仿宋_GB2312" w:eastAsia="仿宋_GB2312" w:cs="仿宋_GB2312"/>
          <w:sz w:val="32"/>
          <w:szCs w:val="32"/>
          <w:highlight w:val="none"/>
        </w:rPr>
        <w:t>。</w:t>
      </w:r>
    </w:p>
    <w:p>
      <w:pPr>
        <w:numPr>
          <w:ilvl w:val="0"/>
          <w:numId w:val="1"/>
        </w:numPr>
        <w:ind w:left="0" w:leftChars="0"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在线问诊</w:t>
      </w:r>
    </w:p>
    <w:p>
      <w:pPr>
        <w:numPr>
          <w:ilvl w:val="-1"/>
          <w:numId w:val="0"/>
        </w:numPr>
        <w:ind w:left="0" w:leftChars="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选择就诊人进入到权益界面，点击“在线问诊”，</w:t>
      </w:r>
      <w:r>
        <w:rPr>
          <w:rFonts w:hint="eastAsia" w:ascii="仿宋_GB2312" w:hAnsi="仿宋_GB2312" w:eastAsia="仿宋_GB2312" w:cs="仿宋_GB2312"/>
          <w:sz w:val="32"/>
          <w:szCs w:val="32"/>
          <w:highlight w:val="none"/>
        </w:rPr>
        <w:t>描述病情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提交问诊需求，系统自动分配医生接诊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医生</w:t>
      </w:r>
      <w:r>
        <w:rPr>
          <w:rFonts w:hint="eastAsia" w:ascii="仿宋_GB2312" w:hAnsi="仿宋_GB2312" w:eastAsia="仿宋_GB2312" w:cs="仿宋_GB2312"/>
          <w:sz w:val="32"/>
          <w:szCs w:val="32"/>
          <w:highlight w:val="none"/>
        </w:rPr>
        <w:t>对病情做出诊断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开具</w:t>
      </w:r>
      <w:r>
        <w:rPr>
          <w:rFonts w:hint="eastAsia" w:ascii="仿宋_GB2312" w:hAnsi="仿宋_GB2312" w:eastAsia="仿宋_GB2312" w:cs="仿宋_GB2312"/>
          <w:sz w:val="32"/>
          <w:szCs w:val="32"/>
          <w:highlight w:val="none"/>
          <w:lang w:val="en-US" w:eastAsia="zh-CN"/>
        </w:rPr>
        <w:t>处方或用药建议单</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就诊</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val="en-US" w:eastAsia="zh-CN"/>
        </w:rPr>
        <w:t>点击“查看详情”查看处方单或用药建议单</w:t>
      </w:r>
      <w:r>
        <w:rPr>
          <w:rFonts w:hint="eastAsia" w:ascii="仿宋_GB2312" w:hAnsi="仿宋_GB2312" w:eastAsia="仿宋_GB2312" w:cs="仿宋_GB2312"/>
          <w:sz w:val="32"/>
          <w:szCs w:val="32"/>
          <w:highlight w:val="none"/>
        </w:rPr>
        <w:t>。</w:t>
      </w:r>
    </w:p>
    <w:p>
      <w:pPr>
        <w:pStyle w:val="12"/>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根据互联网医院相关规定，就诊人</w:t>
      </w:r>
      <w:r>
        <w:rPr>
          <w:rFonts w:hint="eastAsia" w:ascii="仿宋_GB2312" w:hAnsi="仿宋_GB2312" w:eastAsia="仿宋_GB2312" w:cs="仿宋_GB2312"/>
          <w:sz w:val="32"/>
          <w:szCs w:val="32"/>
          <w:highlight w:val="none"/>
          <w:lang w:eastAsia="zh-CN"/>
        </w:rPr>
        <w:t>须</w:t>
      </w:r>
      <w:r>
        <w:rPr>
          <w:rFonts w:hint="eastAsia" w:ascii="仿宋_GB2312" w:hAnsi="仿宋_GB2312" w:eastAsia="仿宋_GB2312" w:cs="仿宋_GB2312"/>
          <w:sz w:val="32"/>
          <w:szCs w:val="32"/>
          <w:highlight w:val="none"/>
          <w:lang w:val="en-US" w:eastAsia="zh-CN"/>
        </w:rPr>
        <w:t>提交就诊人姓名及身份证号进行</w:t>
      </w:r>
      <w:r>
        <w:rPr>
          <w:rFonts w:hint="eastAsia" w:ascii="仿宋_GB2312" w:hAnsi="仿宋_GB2312" w:eastAsia="仿宋_GB2312" w:cs="仿宋_GB2312"/>
          <w:sz w:val="32"/>
          <w:szCs w:val="32"/>
          <w:highlight w:val="none"/>
        </w:rPr>
        <w:t>实名制就诊。在互联网医院问诊前须提交</w:t>
      </w:r>
      <w:r>
        <w:rPr>
          <w:rFonts w:hint="eastAsia" w:ascii="仿宋_GB2312" w:hAnsi="仿宋_GB2312" w:eastAsia="仿宋_GB2312" w:cs="仿宋_GB2312"/>
          <w:b w:val="0"/>
          <w:bCs w:val="0"/>
          <w:sz w:val="32"/>
          <w:szCs w:val="32"/>
          <w:highlight w:val="none"/>
        </w:rPr>
        <w:t>就诊人症状简述</w:t>
      </w:r>
      <w:r>
        <w:rPr>
          <w:rFonts w:hint="eastAsia"/>
          <w:lang w:eastAsia="zh-CN"/>
        </w:rPr>
        <w:t>。</w:t>
      </w:r>
      <w:r>
        <w:rPr>
          <w:rFonts w:hint="eastAsia" w:ascii="仿宋_GB2312" w:hAnsi="仿宋_GB2312" w:eastAsia="仿宋_GB2312" w:cs="仿宋_GB2312"/>
          <w:sz w:val="32"/>
          <w:szCs w:val="32"/>
          <w:highlight w:val="none"/>
        </w:rPr>
        <w:t>线上问诊过程中</w:t>
      </w:r>
      <w:r>
        <w:rPr>
          <w:rFonts w:hint="eastAsia" w:ascii="仿宋_GB2312" w:hAnsi="仿宋_GB2312" w:eastAsia="仿宋_GB2312" w:cs="仿宋_GB2312"/>
          <w:sz w:val="32"/>
          <w:szCs w:val="32"/>
          <w:highlight w:val="none"/>
          <w:lang w:val="en-US" w:eastAsia="zh-CN"/>
        </w:rPr>
        <w:t>如必要情况下，</w:t>
      </w:r>
      <w:r>
        <w:rPr>
          <w:rFonts w:hint="eastAsia" w:ascii="仿宋_GB2312" w:hAnsi="仿宋_GB2312" w:eastAsia="仿宋_GB2312" w:cs="仿宋_GB2312"/>
          <w:sz w:val="32"/>
          <w:szCs w:val="32"/>
          <w:highlight w:val="none"/>
        </w:rPr>
        <w:t>医生会</w:t>
      </w:r>
      <w:r>
        <w:rPr>
          <w:rFonts w:hint="eastAsia" w:ascii="仿宋_GB2312" w:hAnsi="仿宋_GB2312" w:eastAsia="仿宋_GB2312" w:cs="仿宋_GB2312"/>
          <w:sz w:val="32"/>
          <w:szCs w:val="32"/>
          <w:highlight w:val="none"/>
          <w:lang w:val="en-US" w:eastAsia="zh-CN"/>
        </w:rPr>
        <w:t>要求就诊人提供既往就诊病历等相关资料</w:t>
      </w:r>
      <w:r>
        <w:rPr>
          <w:rFonts w:hint="eastAsia" w:ascii="仿宋_GB2312" w:hAnsi="仿宋_GB2312" w:eastAsia="仿宋_GB2312" w:cs="仿宋_GB2312"/>
          <w:sz w:val="32"/>
          <w:szCs w:val="32"/>
          <w:highlight w:val="none"/>
        </w:rPr>
        <w:t>。如果未提</w:t>
      </w:r>
      <w:r>
        <w:rPr>
          <w:rFonts w:hint="eastAsia" w:ascii="仿宋_GB2312" w:hAnsi="仿宋_GB2312" w:eastAsia="仿宋_GB2312" w:cs="仿宋_GB2312"/>
          <w:sz w:val="32"/>
          <w:szCs w:val="32"/>
          <w:highlight w:val="none"/>
          <w:lang w:val="en-US" w:eastAsia="zh-CN"/>
        </w:rPr>
        <w:t>供</w:t>
      </w:r>
      <w:r>
        <w:rPr>
          <w:rFonts w:hint="eastAsia" w:ascii="仿宋_GB2312" w:hAnsi="仿宋_GB2312" w:eastAsia="仿宋_GB2312" w:cs="仿宋_GB2312"/>
          <w:sz w:val="32"/>
          <w:szCs w:val="32"/>
          <w:highlight w:val="none"/>
        </w:rPr>
        <w:t>医生指定的病情资料，医生可以拒绝提供相关诊疗服务。</w:t>
      </w:r>
    </w:p>
    <w:p>
      <w:pPr>
        <w:pStyle w:val="12"/>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在问诊咨询过程中，如就诊人在5分钟内无任何回复，医生将结束当次问诊咨询。问诊</w:t>
      </w:r>
      <w:r>
        <w:rPr>
          <w:rFonts w:hint="eastAsia" w:ascii="仿宋_GB2312" w:hAnsi="仿宋_GB2312" w:eastAsia="仿宋_GB2312" w:cs="仿宋_GB2312"/>
          <w:sz w:val="32"/>
          <w:szCs w:val="32"/>
          <w:highlight w:val="none"/>
          <w:lang w:val="en-US" w:eastAsia="zh-CN"/>
        </w:rPr>
        <w:t>结束后，就诊</w:t>
      </w:r>
      <w:r>
        <w:rPr>
          <w:rFonts w:hint="eastAsia" w:ascii="仿宋_GB2312" w:hAnsi="仿宋_GB2312" w:eastAsia="仿宋_GB2312" w:cs="仿宋_GB2312"/>
          <w:sz w:val="32"/>
          <w:szCs w:val="32"/>
          <w:highlight w:val="none"/>
        </w:rPr>
        <w:t>人后续仍需问诊，</w:t>
      </w:r>
      <w:r>
        <w:rPr>
          <w:rFonts w:hint="eastAsia" w:ascii="仿宋_GB2312" w:hAnsi="仿宋_GB2312" w:eastAsia="仿宋_GB2312" w:cs="仿宋_GB2312"/>
          <w:sz w:val="32"/>
          <w:szCs w:val="32"/>
          <w:highlight w:val="none"/>
          <w:lang w:val="en-US" w:eastAsia="zh-CN"/>
        </w:rPr>
        <w:t>退回权益界面，重新点击“在线问诊”即可。</w:t>
      </w:r>
      <w:r>
        <w:rPr>
          <w:rFonts w:hint="eastAsia" w:ascii="仿宋_GB2312" w:hAnsi="仿宋_GB2312" w:eastAsia="仿宋_GB2312" w:cs="仿宋_GB2312"/>
          <w:sz w:val="32"/>
          <w:szCs w:val="32"/>
          <w:highlight w:val="none"/>
        </w:rPr>
        <w:t>历史问诊记录可在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问诊</w:t>
      </w:r>
      <w:r>
        <w:rPr>
          <w:rFonts w:hint="eastAsia" w:ascii="仿宋_GB2312" w:hAnsi="仿宋_GB2312" w:eastAsia="仿宋_GB2312" w:cs="仿宋_GB2312"/>
          <w:sz w:val="32"/>
          <w:szCs w:val="32"/>
          <w:highlight w:val="none"/>
          <w:lang w:val="en-US" w:eastAsia="zh-CN"/>
        </w:rPr>
        <w:t>列表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中</w:t>
      </w:r>
      <w:r>
        <w:rPr>
          <w:rFonts w:hint="eastAsia" w:ascii="仿宋_GB2312" w:hAnsi="仿宋_GB2312" w:eastAsia="仿宋_GB2312" w:cs="仿宋_GB2312"/>
          <w:sz w:val="32"/>
          <w:szCs w:val="32"/>
          <w:highlight w:val="none"/>
        </w:rPr>
        <w:t>查询。</w:t>
      </w:r>
    </w:p>
    <w:p>
      <w:pPr>
        <w:numPr>
          <w:ilvl w:val="0"/>
          <w:numId w:val="1"/>
        </w:numPr>
        <w:ind w:firstLine="643" w:firstLineChars="200"/>
        <w:jc w:val="both"/>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确认药品清单</w:t>
      </w:r>
    </w:p>
    <w:p>
      <w:p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若医生诊断就诊人所患疾病属于特定疾病清单内疾病范围，确认病情需要药品治疗，医生将根据病情开具相关药品处方</w:t>
      </w:r>
      <w:r>
        <w:rPr>
          <w:rFonts w:hint="eastAsia" w:ascii="仿宋_GB2312" w:hAnsi="仿宋_GB2312" w:eastAsia="仿宋_GB2312" w:cs="仿宋_GB2312"/>
          <w:sz w:val="32"/>
          <w:szCs w:val="32"/>
          <w:highlight w:val="none"/>
          <w:lang w:val="en-US" w:eastAsia="zh-CN"/>
        </w:rPr>
        <w:t>或用药建议单</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就诊</w:t>
      </w:r>
      <w:r>
        <w:rPr>
          <w:rFonts w:hint="eastAsia" w:ascii="仿宋_GB2312" w:hAnsi="仿宋_GB2312" w:eastAsia="仿宋_GB2312" w:cs="仿宋_GB2312"/>
          <w:sz w:val="32"/>
          <w:szCs w:val="32"/>
          <w:highlight w:val="none"/>
        </w:rPr>
        <w:t>人可自行决定是否购药。</w:t>
      </w:r>
    </w:p>
    <w:p>
      <w:pPr>
        <w:ind w:firstLine="640" w:firstLineChars="200"/>
        <w:jc w:val="both"/>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若就诊人需要购药，则点击“查看详情”，在处方或用药建议单底部点击“去购药”，确认配送方式，并支付自付部分药品费用。</w:t>
      </w:r>
    </w:p>
    <w:p>
      <w:pPr>
        <w:pStyle w:val="12"/>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若就诊人</w:t>
      </w:r>
      <w:r>
        <w:rPr>
          <w:rFonts w:hint="eastAsia" w:ascii="仿宋_GB2312" w:hAnsi="仿宋_GB2312" w:eastAsia="仿宋_GB2312" w:cs="仿宋_GB2312"/>
          <w:sz w:val="32"/>
          <w:szCs w:val="32"/>
          <w:highlight w:val="none"/>
        </w:rPr>
        <w:t>不需购药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只进行常规问诊，则退出即可。</w:t>
      </w:r>
    </w:p>
    <w:p>
      <w:pPr>
        <w:numPr>
          <w:ilvl w:val="0"/>
          <w:numId w:val="1"/>
        </w:numPr>
        <w:ind w:firstLine="643" w:firstLineChars="200"/>
        <w:jc w:val="both"/>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药品费用直赔</w:t>
      </w:r>
    </w:p>
    <w:p>
      <w:p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被保险人</w:t>
      </w:r>
      <w:r>
        <w:rPr>
          <w:rFonts w:hint="eastAsia" w:ascii="仿宋_GB2312" w:hAnsi="仿宋_GB2312" w:eastAsia="仿宋_GB2312" w:cs="仿宋_GB2312"/>
          <w:sz w:val="32"/>
          <w:szCs w:val="32"/>
          <w:highlight w:val="none"/>
        </w:rPr>
        <w:t>授权委托药品服务商根据被保险人的保险责任进行实时药品费用理算，保险人</w:t>
      </w:r>
      <w:r>
        <w:rPr>
          <w:rFonts w:hint="eastAsia" w:ascii="仿宋_GB2312" w:hAnsi="仿宋_GB2312" w:eastAsia="仿宋_GB2312" w:cs="仿宋_GB2312"/>
          <w:sz w:val="32"/>
          <w:szCs w:val="32"/>
          <w:highlight w:val="none"/>
          <w:lang w:val="en-US" w:eastAsia="zh-CN"/>
        </w:rPr>
        <w:t>基于</w:t>
      </w:r>
      <w:r>
        <w:rPr>
          <w:rFonts w:hint="eastAsia" w:ascii="仿宋_GB2312" w:hAnsi="仿宋_GB2312" w:eastAsia="仿宋_GB2312" w:cs="仿宋_GB2312"/>
          <w:sz w:val="32"/>
          <w:szCs w:val="32"/>
          <w:highlight w:val="none"/>
        </w:rPr>
        <w:t>被保险人理赔委托授权，将对应理赔款直接支付给药品服务商。</w:t>
      </w:r>
    </w:p>
    <w:p>
      <w:pPr>
        <w:numPr>
          <w:ilvl w:val="0"/>
          <w:numId w:val="1"/>
        </w:numPr>
        <w:ind w:firstLine="643" w:firstLineChars="200"/>
        <w:jc w:val="both"/>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药品配送</w:t>
      </w:r>
    </w:p>
    <w:p>
      <w:pPr>
        <w:pStyle w:val="12"/>
        <w:numPr>
          <w:ilvl w:val="-1"/>
          <w:numId w:val="0"/>
        </w:numPr>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问诊过程中需被保险人提供收货地址，以便系统匹配配送方式，若收货地址附近有符合履约条件的门店且履约门店有医生开具的药品，则系统自动匹配O2O配送或被保险人选择到店自提，到店自提无需支付配送费；若收货地址附近无符合履约条件的门店，则系统自动匹配最近的B2C仓进行履约。</w:t>
      </w:r>
    </w:p>
    <w:p>
      <w:pPr>
        <w:pStyle w:val="12"/>
        <w:numPr>
          <w:ilvl w:val="-1"/>
          <w:numId w:val="0"/>
        </w:numPr>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若用户问诊结束后再提供收货地址，则系统默认只能通过B2C仓进行履约。</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被保险人首次购药，可免除配送费，第二次（含第二次）开始收取配送费。若</w:t>
      </w:r>
      <w:r>
        <w:rPr>
          <w:rFonts w:hint="eastAsia" w:ascii="仿宋_GB2312" w:hAnsi="仿宋_GB2312" w:eastAsia="仿宋_GB2312" w:cs="仿宋_GB2312"/>
          <w:sz w:val="32"/>
          <w:szCs w:val="32"/>
          <w:highlight w:val="none"/>
        </w:rPr>
        <w:t>被保险人未支付需自付部分的费用，药品服务商将不为其配送相关药品。</w:t>
      </w:r>
    </w:p>
    <w:tbl>
      <w:tblPr>
        <w:tblStyle w:val="8"/>
        <w:tblW w:w="7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05"/>
        <w:gridCol w:w="2679"/>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1505" w:type="dxa"/>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项目</w:t>
            </w:r>
          </w:p>
        </w:tc>
        <w:tc>
          <w:tcPr>
            <w:tcW w:w="267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O2O配送</w:t>
            </w:r>
          </w:p>
        </w:tc>
        <w:tc>
          <w:tcPr>
            <w:tcW w:w="2894"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B2C配送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0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服务范围</w:t>
            </w:r>
          </w:p>
        </w:tc>
        <w:tc>
          <w:tcPr>
            <w:tcW w:w="267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3公里范围内</w:t>
            </w:r>
          </w:p>
        </w:tc>
        <w:tc>
          <w:tcPr>
            <w:tcW w:w="289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50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配送实效</w:t>
            </w:r>
          </w:p>
        </w:tc>
        <w:tc>
          <w:tcPr>
            <w:tcW w:w="267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最快30分钟</w:t>
            </w:r>
          </w:p>
        </w:tc>
        <w:tc>
          <w:tcPr>
            <w:tcW w:w="289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1-3天，偏远区域除外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150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服务时间</w:t>
            </w:r>
          </w:p>
        </w:tc>
        <w:tc>
          <w:tcPr>
            <w:tcW w:w="267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9：00-22:00（具体以当地门店营业时间为准）</w:t>
            </w:r>
          </w:p>
        </w:tc>
        <w:tc>
          <w:tcPr>
            <w:tcW w:w="2894"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24小时接单，当天16点前的订单当天出库，16点后的订单，次日上午出库。</w:t>
            </w:r>
          </w:p>
        </w:tc>
      </w:tr>
    </w:tbl>
    <w:p>
      <w:pPr>
        <w:ind w:firstLine="643" w:firstLineChars="200"/>
        <w:jc w:val="both"/>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eastAsia="zh-CN"/>
        </w:rPr>
        <w:t>七、注意事项</w:t>
      </w:r>
    </w:p>
    <w:p>
      <w:pPr>
        <w:numPr>
          <w:ilvl w:val="0"/>
          <w:numId w:val="2"/>
        </w:num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保险人对本附加险合同做出同意理赔的决定，不代表保险人对主险合同或其他附加险合同将做出相同的理赔决定。若保险人在后续理赔调查过程中发现投保人存在未如实告知的情形，保险人可依法解除保险合同，对于合同解除前发生的保险事故，不承担赔偿或者给付保险金的责任；</w:t>
      </w:r>
    </w:p>
    <w:p>
      <w:pPr>
        <w:numPr>
          <w:ilvl w:val="0"/>
          <w:numId w:val="2"/>
        </w:num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本附加险产品的在线问诊药品费用保险金仅限被保险人使用；</w:t>
      </w:r>
    </w:p>
    <w:p>
      <w:pPr>
        <w:numPr>
          <w:ilvl w:val="0"/>
          <w:numId w:val="2"/>
        </w:num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本附加险产品保险人承担赔偿保险金责任的药品费用仅限由指定互联网医院医生在线开具电子处方</w:t>
      </w:r>
      <w:r>
        <w:rPr>
          <w:rFonts w:hint="eastAsia" w:ascii="仿宋_GB2312" w:hAnsi="仿宋_GB2312" w:eastAsia="仿宋_GB2312" w:cs="仿宋_GB2312"/>
          <w:sz w:val="32"/>
          <w:szCs w:val="32"/>
          <w:highlight w:val="none"/>
          <w:lang w:val="en-US" w:eastAsia="zh-CN"/>
        </w:rPr>
        <w:t>或用药建议单</w:t>
      </w:r>
      <w:r>
        <w:rPr>
          <w:rFonts w:hint="eastAsia" w:ascii="仿宋_GB2312" w:hAnsi="仿宋_GB2312" w:eastAsia="仿宋_GB2312" w:cs="仿宋_GB2312"/>
          <w:sz w:val="32"/>
          <w:szCs w:val="32"/>
          <w:highlight w:val="none"/>
        </w:rPr>
        <w:t>并在指定</w:t>
      </w:r>
      <w:r>
        <w:rPr>
          <w:rFonts w:hint="eastAsia" w:ascii="仿宋_GB2312" w:hAnsi="仿宋_GB2312" w:eastAsia="仿宋_GB2312" w:cs="仿宋_GB2312"/>
          <w:sz w:val="32"/>
          <w:szCs w:val="32"/>
          <w:highlight w:val="none"/>
          <w:lang w:eastAsia="zh-CN"/>
        </w:rPr>
        <w:t>药店</w:t>
      </w:r>
      <w:r>
        <w:rPr>
          <w:rFonts w:hint="eastAsia" w:ascii="仿宋_GB2312" w:hAnsi="仿宋_GB2312" w:eastAsia="仿宋_GB2312" w:cs="仿宋_GB2312"/>
          <w:sz w:val="32"/>
          <w:szCs w:val="32"/>
          <w:highlight w:val="none"/>
        </w:rPr>
        <w:t>购药的药品费用。未经互联网医院医生在线开具电子处方</w:t>
      </w:r>
      <w:r>
        <w:rPr>
          <w:rFonts w:hint="eastAsia" w:ascii="仿宋_GB2312" w:hAnsi="仿宋_GB2312" w:eastAsia="仿宋_GB2312" w:cs="仿宋_GB2312"/>
          <w:sz w:val="32"/>
          <w:szCs w:val="32"/>
          <w:highlight w:val="none"/>
          <w:lang w:val="en-US" w:eastAsia="zh-CN"/>
        </w:rPr>
        <w:t>或用药建议单</w:t>
      </w:r>
      <w:r>
        <w:rPr>
          <w:rFonts w:hint="eastAsia" w:ascii="仿宋_GB2312" w:hAnsi="仿宋_GB2312" w:eastAsia="仿宋_GB2312" w:cs="仿宋_GB2312"/>
          <w:sz w:val="32"/>
          <w:szCs w:val="32"/>
          <w:highlight w:val="none"/>
        </w:rPr>
        <w:t>购药的，或未在指定</w:t>
      </w:r>
      <w:r>
        <w:rPr>
          <w:rFonts w:hint="eastAsia" w:ascii="仿宋_GB2312" w:hAnsi="仿宋_GB2312" w:eastAsia="仿宋_GB2312" w:cs="仿宋_GB2312"/>
          <w:sz w:val="32"/>
          <w:szCs w:val="32"/>
          <w:highlight w:val="none"/>
          <w:lang w:eastAsia="zh-CN"/>
        </w:rPr>
        <w:t>药店</w:t>
      </w:r>
      <w:r>
        <w:rPr>
          <w:rFonts w:hint="eastAsia" w:ascii="仿宋_GB2312" w:hAnsi="仿宋_GB2312" w:eastAsia="仿宋_GB2312" w:cs="仿宋_GB2312"/>
          <w:sz w:val="32"/>
          <w:szCs w:val="32"/>
          <w:highlight w:val="none"/>
        </w:rPr>
        <w:t>购药的，所诊断疾病和所开具的药品不在疾病和药品清单范围内的，保险人均不承担保险责任；</w:t>
      </w:r>
    </w:p>
    <w:p>
      <w:pPr>
        <w:numPr>
          <w:ilvl w:val="0"/>
          <w:numId w:val="2"/>
        </w:num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若被保险人未支付需个人自付的药品费用，指定药品服务商将不配送相关药品；</w:t>
      </w:r>
    </w:p>
    <w:p>
      <w:pPr>
        <w:numPr>
          <w:ilvl w:val="0"/>
          <w:numId w:val="2"/>
        </w:numPr>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rPr>
        <w:t>根据《药品经营质量管理规范》第一百七十三条，除药品质量原因外，药品一经售出，不得退换。</w:t>
      </w:r>
    </w:p>
    <w:p>
      <w:pPr>
        <w:ind w:left="210" w:leftChars="100"/>
        <w:jc w:val="both"/>
        <w:rPr>
          <w:rFonts w:hint="eastAsia" w:ascii="仿宋_GB2312" w:hAnsi="仿宋_GB2312" w:eastAsia="仿宋_GB2312" w:cs="仿宋_GB2312"/>
          <w:b/>
          <w:bCs/>
          <w:sz w:val="32"/>
          <w:szCs w:val="32"/>
          <w:highlight w:val="non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FFAD9"/>
    <w:multiLevelType w:val="singleLevel"/>
    <w:tmpl w:val="B57FFAD9"/>
    <w:lvl w:ilvl="0" w:tentative="0">
      <w:start w:val="1"/>
      <w:numFmt w:val="decimal"/>
      <w:suff w:val="space"/>
      <w:lvlText w:val="%1."/>
      <w:lvlJc w:val="left"/>
    </w:lvl>
  </w:abstractNum>
  <w:abstractNum w:abstractNumId="1">
    <w:nsid w:val="5450C9E5"/>
    <w:multiLevelType w:val="singleLevel"/>
    <w:tmpl w:val="5450C9E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5Y2QyYTE2YjZiODdkNzNkNDkwMGJmYzJmZmRkYzUifQ=="/>
  </w:docVars>
  <w:rsids>
    <w:rsidRoot w:val="004A65D1"/>
    <w:rsid w:val="00014C7F"/>
    <w:rsid w:val="00032EBC"/>
    <w:rsid w:val="0004647F"/>
    <w:rsid w:val="00060528"/>
    <w:rsid w:val="000625EA"/>
    <w:rsid w:val="000901D8"/>
    <w:rsid w:val="00092F4A"/>
    <w:rsid w:val="000931BC"/>
    <w:rsid w:val="000952B7"/>
    <w:rsid w:val="000A431B"/>
    <w:rsid w:val="000A75CF"/>
    <w:rsid w:val="000B5208"/>
    <w:rsid w:val="000C7673"/>
    <w:rsid w:val="0010741F"/>
    <w:rsid w:val="00124B41"/>
    <w:rsid w:val="00144708"/>
    <w:rsid w:val="00153131"/>
    <w:rsid w:val="0015520D"/>
    <w:rsid w:val="001A490D"/>
    <w:rsid w:val="001B0B0A"/>
    <w:rsid w:val="001C1D9C"/>
    <w:rsid w:val="001D0488"/>
    <w:rsid w:val="001E2372"/>
    <w:rsid w:val="00201D8A"/>
    <w:rsid w:val="00212305"/>
    <w:rsid w:val="00245CDD"/>
    <w:rsid w:val="002676B6"/>
    <w:rsid w:val="002679C4"/>
    <w:rsid w:val="00287412"/>
    <w:rsid w:val="00290E5F"/>
    <w:rsid w:val="002C64F6"/>
    <w:rsid w:val="002D32C5"/>
    <w:rsid w:val="002F7415"/>
    <w:rsid w:val="00337ADA"/>
    <w:rsid w:val="00354297"/>
    <w:rsid w:val="003632C3"/>
    <w:rsid w:val="00364AA1"/>
    <w:rsid w:val="00364B05"/>
    <w:rsid w:val="00365D6E"/>
    <w:rsid w:val="00383E66"/>
    <w:rsid w:val="00397BC2"/>
    <w:rsid w:val="003A138E"/>
    <w:rsid w:val="003A3E32"/>
    <w:rsid w:val="003C2AF8"/>
    <w:rsid w:val="003C488B"/>
    <w:rsid w:val="004462B8"/>
    <w:rsid w:val="004629C8"/>
    <w:rsid w:val="004835F9"/>
    <w:rsid w:val="004902EB"/>
    <w:rsid w:val="004A65D1"/>
    <w:rsid w:val="004B02E8"/>
    <w:rsid w:val="004D3479"/>
    <w:rsid w:val="004F0DCE"/>
    <w:rsid w:val="004F46F6"/>
    <w:rsid w:val="005226A0"/>
    <w:rsid w:val="0052568F"/>
    <w:rsid w:val="00531B40"/>
    <w:rsid w:val="00554410"/>
    <w:rsid w:val="00560C1E"/>
    <w:rsid w:val="00577B80"/>
    <w:rsid w:val="00581F0F"/>
    <w:rsid w:val="005A3F58"/>
    <w:rsid w:val="005B2DC6"/>
    <w:rsid w:val="005B7935"/>
    <w:rsid w:val="005E5E19"/>
    <w:rsid w:val="005F5E2E"/>
    <w:rsid w:val="006473A3"/>
    <w:rsid w:val="0066307C"/>
    <w:rsid w:val="006A677A"/>
    <w:rsid w:val="006B0B69"/>
    <w:rsid w:val="006C41C5"/>
    <w:rsid w:val="006E2561"/>
    <w:rsid w:val="006E3B85"/>
    <w:rsid w:val="00702951"/>
    <w:rsid w:val="00720109"/>
    <w:rsid w:val="00747FD3"/>
    <w:rsid w:val="00762EAC"/>
    <w:rsid w:val="007669C0"/>
    <w:rsid w:val="00781A56"/>
    <w:rsid w:val="007A32AF"/>
    <w:rsid w:val="007A5E18"/>
    <w:rsid w:val="007B4714"/>
    <w:rsid w:val="007F214E"/>
    <w:rsid w:val="00806B43"/>
    <w:rsid w:val="008258CD"/>
    <w:rsid w:val="00843603"/>
    <w:rsid w:val="008530EC"/>
    <w:rsid w:val="008626A1"/>
    <w:rsid w:val="0086367A"/>
    <w:rsid w:val="00881D7C"/>
    <w:rsid w:val="00885D07"/>
    <w:rsid w:val="008A133D"/>
    <w:rsid w:val="008B3103"/>
    <w:rsid w:val="008D5214"/>
    <w:rsid w:val="008D625B"/>
    <w:rsid w:val="008E6532"/>
    <w:rsid w:val="008F1BA8"/>
    <w:rsid w:val="008F2972"/>
    <w:rsid w:val="00905AA6"/>
    <w:rsid w:val="0097533E"/>
    <w:rsid w:val="00975D66"/>
    <w:rsid w:val="00982CBC"/>
    <w:rsid w:val="009914A5"/>
    <w:rsid w:val="00997F26"/>
    <w:rsid w:val="009A0018"/>
    <w:rsid w:val="009D096D"/>
    <w:rsid w:val="009E00E8"/>
    <w:rsid w:val="009F353A"/>
    <w:rsid w:val="00A04C6B"/>
    <w:rsid w:val="00A43C3B"/>
    <w:rsid w:val="00A449A0"/>
    <w:rsid w:val="00A86580"/>
    <w:rsid w:val="00B2158D"/>
    <w:rsid w:val="00B377A8"/>
    <w:rsid w:val="00B65DBC"/>
    <w:rsid w:val="00B729C1"/>
    <w:rsid w:val="00B8783F"/>
    <w:rsid w:val="00BC79F2"/>
    <w:rsid w:val="00BF49B4"/>
    <w:rsid w:val="00C24B68"/>
    <w:rsid w:val="00C461BD"/>
    <w:rsid w:val="00C63B4D"/>
    <w:rsid w:val="00C85E0E"/>
    <w:rsid w:val="00C85E81"/>
    <w:rsid w:val="00CE1C81"/>
    <w:rsid w:val="00CE705E"/>
    <w:rsid w:val="00D11584"/>
    <w:rsid w:val="00D134A3"/>
    <w:rsid w:val="00D21EC2"/>
    <w:rsid w:val="00D35AEA"/>
    <w:rsid w:val="00D63C3C"/>
    <w:rsid w:val="00D91ECD"/>
    <w:rsid w:val="00DA44F0"/>
    <w:rsid w:val="00DE0BD4"/>
    <w:rsid w:val="00DF0F97"/>
    <w:rsid w:val="00DF291E"/>
    <w:rsid w:val="00E32D64"/>
    <w:rsid w:val="00E677A9"/>
    <w:rsid w:val="00E677B5"/>
    <w:rsid w:val="00EA3686"/>
    <w:rsid w:val="00EC28B0"/>
    <w:rsid w:val="00EF1A5E"/>
    <w:rsid w:val="00EF281C"/>
    <w:rsid w:val="00EF6757"/>
    <w:rsid w:val="00EF6AB3"/>
    <w:rsid w:val="00F00061"/>
    <w:rsid w:val="00F364A4"/>
    <w:rsid w:val="00F42DB3"/>
    <w:rsid w:val="00F4649C"/>
    <w:rsid w:val="00F67875"/>
    <w:rsid w:val="00FA59B9"/>
    <w:rsid w:val="00FE1E71"/>
    <w:rsid w:val="00FF7A3C"/>
    <w:rsid w:val="024F3E82"/>
    <w:rsid w:val="0CCA1272"/>
    <w:rsid w:val="110C2CD3"/>
    <w:rsid w:val="120047B9"/>
    <w:rsid w:val="12694CDB"/>
    <w:rsid w:val="182D3CDB"/>
    <w:rsid w:val="18314B5C"/>
    <w:rsid w:val="18C75704"/>
    <w:rsid w:val="1E1E273E"/>
    <w:rsid w:val="22E2171E"/>
    <w:rsid w:val="25795A22"/>
    <w:rsid w:val="2B9E3320"/>
    <w:rsid w:val="2F473432"/>
    <w:rsid w:val="301841BF"/>
    <w:rsid w:val="31202731"/>
    <w:rsid w:val="337A724D"/>
    <w:rsid w:val="33EE1455"/>
    <w:rsid w:val="34473849"/>
    <w:rsid w:val="34DF5756"/>
    <w:rsid w:val="35312831"/>
    <w:rsid w:val="37EB2868"/>
    <w:rsid w:val="38024E8D"/>
    <w:rsid w:val="39231750"/>
    <w:rsid w:val="3FE51769"/>
    <w:rsid w:val="45B56C51"/>
    <w:rsid w:val="45C62844"/>
    <w:rsid w:val="46541003"/>
    <w:rsid w:val="48D9119A"/>
    <w:rsid w:val="4909149A"/>
    <w:rsid w:val="4DB565EC"/>
    <w:rsid w:val="4E0420C1"/>
    <w:rsid w:val="560957F2"/>
    <w:rsid w:val="566467B8"/>
    <w:rsid w:val="62A62A33"/>
    <w:rsid w:val="64572B7B"/>
    <w:rsid w:val="64EC1DBE"/>
    <w:rsid w:val="651333E6"/>
    <w:rsid w:val="66C24193"/>
    <w:rsid w:val="675A58DD"/>
    <w:rsid w:val="67CC285D"/>
    <w:rsid w:val="685B60F4"/>
    <w:rsid w:val="68D561B9"/>
    <w:rsid w:val="696B7142"/>
    <w:rsid w:val="6BD3002D"/>
    <w:rsid w:val="6D56497A"/>
    <w:rsid w:val="6FFC4C46"/>
    <w:rsid w:val="7137059B"/>
    <w:rsid w:val="72762EA3"/>
    <w:rsid w:val="73334198"/>
    <w:rsid w:val="74EB4FDB"/>
    <w:rsid w:val="757C4AA4"/>
    <w:rsid w:val="7903599B"/>
    <w:rsid w:val="7D226D63"/>
    <w:rsid w:val="CE3E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4">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314</Words>
  <Characters>1793</Characters>
  <Lines>14</Lines>
  <Paragraphs>4</Paragraphs>
  <TotalTime>132</TotalTime>
  <ScaleCrop>false</ScaleCrop>
  <LinksUpToDate>false</LinksUpToDate>
  <CharactersWithSpaces>2103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2022-12-02T16:57:00Z</dcterms:created>
  <dc:creator>张怡</dc:creator>
  <cp:lastModifiedBy>王颇</cp:lastModifiedBy>
  <dcterms:modified xsi:type="dcterms:W3CDTF">2023-11-01T07:07:33Z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0C8E5E0F464B4E7B850E898CEF34201E_13</vt:lpwstr>
  </property>
</Properties>
</file>